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i w:val="0"/>
          <w:color w:val="4338CA"/>
          <w:sz w:val="48"/>
          <w:spacing w:val="30"/>
        </w:rPr>
        <w:t>SUDHANSHU MALHOTRA</w:t>
      </w:r>
    </w:p>
    <w:p>
      <w:pPr>
        <w:spacing w:after="40"/>
        <w:jc w:val="center"/>
      </w:pPr>
      <w:r>
        <w:rPr>
          <w:rFonts w:ascii="Calibri" w:hAnsi="Calibri"/>
          <w:b w:val="0"/>
          <w:i w:val="0"/>
          <w:color w:val="1F2937"/>
          <w:sz w:val="21"/>
        </w:rPr>
        <w:t>Principal Solutions Architect  |  Cloud &amp; GenAI Technology Executive  |  AWS Thought Leader</w:t>
      </w:r>
    </w:p>
    <w:p>
      <w:pPr>
        <w:spacing w:after="40"/>
        <w:jc w:val="center"/>
        <w:pBdr>
          <w:bottom w:val="single" w:sz="4" w:space="3" w:color="9CA3AF"/>
        </w:pBdr>
      </w:pPr>
      <w:hyperlink r:id="rId9">
        <w:r>
          <w:rPr>
            <w:rFonts w:ascii="Calibri" w:hAnsi="Calibri"/>
            <w:color w:val="4338CA"/>
            <w:u w:val="single"/>
            <w:sz w:val="19"/>
          </w:rPr>
          <w:t>sudhanshu.malhotra@gmail.com</w:t>
        </w:r>
      </w:hyperlink>
      <w:r>
        <w:rPr>
          <w:rFonts w:ascii="Calibri" w:hAnsi="Calibri"/>
          <w:b w:val="0"/>
          <w:i w:val="0"/>
          <w:color w:val="5B616E"/>
          <w:sz w:val="19"/>
        </w:rPr>
        <w:t xml:space="preserve">  |  (508) 264-1843  |  </w:t>
      </w:r>
      <w:hyperlink r:id="rId10">
        <w:r>
          <w:rPr>
            <w:rFonts w:ascii="Calibri" w:hAnsi="Calibri"/>
            <w:color w:val="4338CA"/>
            <w:u w:val="single"/>
            <w:sz w:val="19"/>
          </w:rPr>
          <w:t>sudhanshu.cloud</w:t>
        </w:r>
      </w:hyperlink>
      <w:r>
        <w:rPr>
          <w:rFonts w:ascii="Calibri" w:hAnsi="Calibri"/>
          <w:b w:val="0"/>
          <w:i w:val="0"/>
          <w:color w:val="5B616E"/>
          <w:sz w:val="19"/>
        </w:rPr>
        <w:t xml:space="preserve">  |  </w:t>
      </w:r>
      <w:hyperlink r:id="rId11">
        <w:r>
          <w:rPr>
            <w:rFonts w:ascii="Calibri" w:hAnsi="Calibri"/>
            <w:color w:val="4338CA"/>
            <w:u w:val="single"/>
            <w:sz w:val="19"/>
          </w:rPr>
          <w:t>linkedin.com/in/malhotrasudhanshu</w:t>
        </w:r>
      </w:hyperlink>
      <w:r>
        <w:rPr>
          <w:rFonts w:ascii="Calibri" w:hAnsi="Calibri"/>
          <w:b w:val="0"/>
          <w:i w:val="0"/>
          <w:color w:val="5B616E"/>
          <w:sz w:val="19"/>
        </w:rPr>
        <w:t xml:space="preserve">  |  Boston, MA</w:t>
      </w:r>
    </w:p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Executive Profile</w:t>
      </w:r>
    </w:p>
    <w:p>
      <w:pPr>
        <w:spacing w:after="40" w:line="254" w:lineRule="auto"/>
      </w:pPr>
      <w:r>
        <w:rPr>
          <w:rFonts w:ascii="Calibri" w:hAnsi="Calibri"/>
          <w:b w:val="0"/>
          <w:i w:val="0"/>
          <w:color w:val="1F2937"/>
          <w:sz w:val="20"/>
        </w:rPr>
        <w:t>Transformational cloud technology leader with 19+ years driving enterprise digital transformation, GenAI adoption, and large-scale cloud architecture across regulated industries. AWS-certified architect who pairs broad enterprise experience with deep domain expertise in life sciences. Proven track record influencing $300M+ in revenue while reducing operational costs by 50%+ through strategic cloud architecture and adoption. Recognized thought leader with 24 published technical articles reaching 100K+ industry professionals across cloud architecture, GenAI, and enterprise-scale migrations.</w:t>
      </w:r>
    </w:p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Core Competencies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Cloud Architecture &amp; Strategy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Revenue Growth &amp; GTM Strategy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GenAI &amp; Agentic Platforms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DevOps &amp; Automation (IaC, CI/CD)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LLM Evaluation, RAG &amp; Orchestration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Cost Optimization &amp; FinOps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Enterprise Solutions Design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Technical Evangelism &amp; Thought Leadership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C-Suite &amp; Executive Advisory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Life Sciences &amp; Regulated Industries</w:t>
            </w:r>
          </w:p>
        </w:tc>
      </w:tr>
    </w:tbl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Professional Experience</w:t>
      </w:r>
    </w:p>
    <w:p>
      <w:pPr>
        <w:spacing w:before="120" w:after="0"/>
      </w:pPr>
      <w:r>
        <w:rPr>
          <w:rFonts w:ascii="Calibri" w:hAnsi="Calibri"/>
          <w:b/>
          <w:i w:val="0"/>
          <w:color w:val="4338CA"/>
          <w:sz w:val="21"/>
        </w:rPr>
        <w:t>Amazon Web Services (AWS)</w:t>
      </w:r>
      <w:r>
        <w:rPr>
          <w:rFonts w:ascii="Calibri" w:hAnsi="Calibri"/>
          <w:b w:val="0"/>
          <w:i/>
          <w:color w:val="5B616E"/>
          <w:sz w:val="18"/>
        </w:rPr>
        <w:t xml:space="preserve">   Boston, MA</w:t>
      </w:r>
    </w:p>
    <w:p>
      <w:pPr>
        <w:tabs>
          <w:tab w:pos="10224" w:val="right"/>
        </w:tabs>
        <w:spacing w:before="100" w:after="20"/>
      </w:pPr>
      <w:r>
        <w:rPr>
          <w:rFonts w:ascii="Calibri" w:hAnsi="Calibri"/>
          <w:b/>
          <w:i w:val="0"/>
          <w:color w:val="1F2937"/>
          <w:sz w:val="21"/>
        </w:rPr>
        <w:t>Principal Solutions Architect  |  HCLS Tech Lead</w:t>
      </w:r>
      <w:r>
        <w:rPr>
          <w:rFonts w:ascii="Calibri" w:hAnsi="Calibri"/>
          <w:b w:val="0"/>
          <w:i/>
          <w:color w:val="5B616E"/>
          <w:sz w:val="19"/>
        </w:rPr>
        <w:tab/>
        <w:t>Oct 2022 – Present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Regional technical lead driving $300M+ in revenue influence for the Life Sciences sector in the US East region, achieving 20%+ YoY growth.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Advise enterprise customers on designing and building production agentic platforms, including multi-agent orchestration, tool/function calling, and RAG pipelines.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Guide teams on LLM evaluation frameworks to measure model quality, safety, and task performance.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Architect enterprise-scale cloud and GenAI solutions integrating LLMs into existing technology stacks for drug discovery, genomics, and diagnostic workflows.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Strategic advisor to C-level executives at Fortune 500 companies, aligning cloud and AI transformation with business objectives and regulatory requirements.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Authored technical content and presentations reaching 100K+ views, accelerating AWS adoption.</w:t>
      </w:r>
    </w:p>
    <w:p>
      <w:pPr>
        <w:tabs>
          <w:tab w:pos="10224" w:val="right"/>
        </w:tabs>
        <w:spacing w:before="100" w:after="20"/>
      </w:pPr>
      <w:r>
        <w:rPr>
          <w:rFonts w:ascii="Calibri" w:hAnsi="Calibri"/>
          <w:b/>
          <w:i w:val="0"/>
          <w:color w:val="1F2937"/>
          <w:sz w:val="21"/>
        </w:rPr>
        <w:t>Senior Solutions Architect  |  Sales</w:t>
      </w:r>
      <w:r>
        <w:rPr>
          <w:rFonts w:ascii="Calibri" w:hAnsi="Calibri"/>
          <w:b w:val="0"/>
          <w:i/>
          <w:color w:val="5B616E"/>
          <w:sz w:val="19"/>
        </w:rPr>
        <w:tab/>
        <w:t>Apr 2018 – Sep 2022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Influenced $25M+ in revenue architecting enterprise cloud transformations across diverse industry verticals.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Achieved 100%+ YoY territory revenue growth for 3 consecutive years through strategic customer engagement.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Delivered 50+ workshops, deep-dive sessions, and executive briefings on AWS value and best practices.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Built long-term relationships positioning AWS as a strategic partner for digital transformation.</w:t>
      </w:r>
    </w:p>
    <w:p>
      <w:pPr>
        <w:tabs>
          <w:tab w:pos="10224" w:val="right"/>
        </w:tabs>
        <w:spacing w:before="100" w:after="20"/>
      </w:pPr>
      <w:r>
        <w:rPr>
          <w:rFonts w:ascii="Calibri" w:hAnsi="Calibri"/>
          <w:b/>
          <w:i w:val="0"/>
          <w:color w:val="1F2937"/>
          <w:sz w:val="21"/>
        </w:rPr>
        <w:t>Cloud Consultant  |  Professional Services</w:t>
      </w:r>
      <w:r>
        <w:rPr>
          <w:rFonts w:ascii="Calibri" w:hAnsi="Calibri"/>
          <w:b w:val="0"/>
          <w:i/>
          <w:color w:val="5B616E"/>
          <w:sz w:val="19"/>
        </w:rPr>
        <w:tab/>
        <w:t>Sep 2015 – Mar 2018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Led technical engagements with IT executives and engineering teams to accelerate cloud adoption.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Architected AWS solutions optimized for scale, resiliency, security, and maintainability.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Developed Infrastructure-as-Code frameworks and configuration management, reducing deployment time by 75%.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Coached customer teams on AWS best practices, building self-sufficient cloud competency.</w:t>
      </w:r>
    </w:p>
    <w:p>
      <w:pPr>
        <w:spacing w:before="120" w:after="0"/>
      </w:pPr>
      <w:r>
        <w:rPr>
          <w:rFonts w:ascii="Calibri" w:hAnsi="Calibri"/>
          <w:b/>
          <w:i w:val="0"/>
          <w:color w:val="4338CA"/>
          <w:sz w:val="21"/>
        </w:rPr>
        <w:t>NetApp</w:t>
      </w:r>
      <w:r>
        <w:rPr>
          <w:rFonts w:ascii="Calibri" w:hAnsi="Calibri"/>
          <w:b w:val="0"/>
          <w:i/>
          <w:color w:val="5B616E"/>
          <w:sz w:val="18"/>
        </w:rPr>
        <w:t xml:space="preserve">   Waltham, MA</w:t>
      </w:r>
    </w:p>
    <w:p>
      <w:pPr>
        <w:tabs>
          <w:tab w:pos="10224" w:val="right"/>
        </w:tabs>
        <w:spacing w:before="100" w:after="20"/>
      </w:pPr>
      <w:r>
        <w:rPr>
          <w:rFonts w:ascii="Calibri" w:hAnsi="Calibri"/>
          <w:b/>
          <w:i w:val="0"/>
          <w:color w:val="1F2937"/>
          <w:sz w:val="21"/>
        </w:rPr>
        <w:t>Member of Technical Staff, DevOps</w:t>
      </w:r>
      <w:r>
        <w:rPr>
          <w:rFonts w:ascii="Calibri" w:hAnsi="Calibri"/>
          <w:b w:val="0"/>
          <w:i/>
          <w:color w:val="5B616E"/>
          <w:sz w:val="19"/>
        </w:rPr>
        <w:tab/>
        <w:t>Jun 2012 – Sep 2015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Founding engineering team member for NetApp ONTAP Cloud (now Cloud Volumes ONTAP), natively integrated with AWS and GCP.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Led end-to-end automation for Cloud ONTAP and software-defined storage across AWS and Azure.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Reduced deployment time from hours to minutes through framework and CI/CD optimization.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Implemented intelligent cloud infrastructure automation delivering $1M+ in annual savings.</w:t>
      </w:r>
    </w:p>
    <w:p>
      <w:pPr>
        <w:spacing w:before="120" w:after="0"/>
      </w:pPr>
      <w:r>
        <w:rPr>
          <w:rFonts w:ascii="Calibri" w:hAnsi="Calibri"/>
          <w:b/>
          <w:i w:val="0"/>
          <w:color w:val="4338CA"/>
          <w:sz w:val="21"/>
        </w:rPr>
        <w:t>EMC Corporation (now Dell EMC)</w:t>
      </w:r>
      <w:r>
        <w:rPr>
          <w:rFonts w:ascii="Calibri" w:hAnsi="Calibri"/>
          <w:b w:val="0"/>
          <w:i/>
          <w:color w:val="5B616E"/>
          <w:sz w:val="18"/>
        </w:rPr>
        <w:t xml:space="preserve">   Hopkinton, MA</w:t>
      </w:r>
    </w:p>
    <w:p>
      <w:pPr>
        <w:tabs>
          <w:tab w:pos="10224" w:val="right"/>
        </w:tabs>
        <w:spacing w:before="100" w:after="20"/>
      </w:pPr>
      <w:r>
        <w:rPr>
          <w:rFonts w:ascii="Calibri" w:hAnsi="Calibri"/>
          <w:b/>
          <w:i w:val="0"/>
          <w:color w:val="1F2937"/>
          <w:sz w:val="21"/>
        </w:rPr>
        <w:t>Senior Systems Integration Engineer</w:t>
      </w:r>
      <w:r>
        <w:rPr>
          <w:rFonts w:ascii="Calibri" w:hAnsi="Calibri"/>
          <w:b w:val="0"/>
          <w:i/>
          <w:color w:val="5B616E"/>
          <w:sz w:val="19"/>
        </w:rPr>
        <w:tab/>
        <w:t>Jan 2007 – Jun 2012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Developed comprehensive test strategies for enterprise storage systems, virtualization platforms, and SAN fabrics for mission-critical deployments.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>Architected complex test environments spanning storage, SAN fabrics, and disaster recovery, collaborating cross-functionally with product and development teams.</w:t>
      </w:r>
    </w:p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Education</w:t>
      </w:r>
    </w:p>
    <w:p>
      <w:pPr>
        <w:spacing w:after="40"/>
      </w:pPr>
      <w:r>
        <w:rPr>
          <w:rFonts w:ascii="Calibri" w:hAnsi="Calibri"/>
          <w:b/>
          <w:i w:val="0"/>
          <w:color w:val="1F2937"/>
          <w:sz w:val="20"/>
        </w:rPr>
        <w:t>Master of Science in Electrical Engineering</w:t>
      </w:r>
    </w:p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AWS Certifications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DevOps Engineer – Professional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Solutions Architect – Associate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Solutions Architect – Professional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SysOps Administrator – Associate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Machine Learning – Specialty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Developer – Associate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AI Practitioner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Cloud Practitioner</w:t>
            </w:r>
          </w:p>
        </w:tc>
      </w:tr>
    </w:tbl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Publications &amp; Thought Leadership</w:t>
      </w:r>
    </w:p>
    <w:p>
      <w:pPr>
        <w:pStyle w:val="ListBullet"/>
        <w:spacing w:after="40" w:line="247" w:lineRule="auto"/>
      </w:pPr>
      <w:r>
        <w:rPr>
          <w:rFonts w:ascii="Calibri" w:hAnsi="Calibri"/>
          <w:b/>
          <w:i w:val="0"/>
          <w:color w:val="1F2937"/>
          <w:sz w:val="20"/>
        </w:rPr>
        <w:t xml:space="preserve">Author, </w:t>
      </w:r>
      <w:r>
        <w:rPr>
          <w:rFonts w:ascii="Calibri" w:hAnsi="Calibri"/>
          <w:b w:val="0"/>
          <w:i w:val="0"/>
          <w:color w:val="1F2937"/>
          <w:sz w:val="20"/>
        </w:rPr>
        <w:t>"GenAI: A Builder's Guide – Best Practices for Building Production-Ready GenAI Applications" (2026, #1 Best Seller).</w:t>
      </w:r>
    </w:p>
    <w:p>
      <w:pPr>
        <w:pStyle w:val="ListBullet"/>
        <w:spacing w:after="40" w:line="247" w:lineRule="auto"/>
      </w:pPr>
      <w:r>
        <w:rPr>
          <w:rFonts w:ascii="Calibri" w:hAnsi="Calibri"/>
          <w:b w:val="0"/>
          <w:i w:val="0"/>
          <w:color w:val="1F2937"/>
          <w:sz w:val="20"/>
        </w:rPr>
        <w:t xml:space="preserve">24 published technical articles spanning GenAI, life sciences, cloud governance, machine learning, security, and compute. Full portfolio at </w:t>
      </w:r>
      <w:hyperlink r:id="rId10">
        <w:r>
          <w:rPr>
            <w:rFonts w:ascii="Calibri" w:hAnsi="Calibri"/>
            <w:color w:val="4338CA"/>
            <w:u w:val="single"/>
            <w:sz w:val="20"/>
          </w:rPr>
          <w:t>sudhanshu.cloud</w:t>
        </w:r>
      </w:hyperlink>
      <w:r>
        <w:rPr>
          <w:rFonts w:ascii="Calibri" w:hAnsi="Calibri"/>
          <w:b w:val="0"/>
          <w:i w:val="0"/>
          <w:color w:val="1F2937"/>
          <w:sz w:val="20"/>
        </w:rPr>
        <w:t>.</w:t>
      </w:r>
    </w:p>
    <w:p>
      <w:pPr>
        <w:spacing w:before="180" w:after="60"/>
        <w:pBdr>
          <w:bottom w:val="single" w:sz="6" w:space="3" w:color="4338CA"/>
        </w:pBdr>
      </w:pPr>
      <w:r>
        <w:rPr>
          <w:rFonts w:ascii="Calibri" w:hAnsi="Calibri"/>
          <w:b/>
          <w:i w:val="0"/>
          <w:caps/>
          <w:color w:val="4338CA"/>
          <w:sz w:val="22"/>
          <w:spacing w:val="20"/>
        </w:rPr>
        <w:t>Key Achievements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$300M+ revenue influence in cloud adoption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100K+ views on technical content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50%+ cost reduction for enterprise customers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$1M+ infrastructure savings via automation</w:t>
            </w:r>
          </w:p>
        </w:tc>
      </w:tr>
      <w:tr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100%+ YoY growth, 3 consecutive years</w:t>
            </w:r>
          </w:p>
        </w:tc>
        <w:tc>
          <w:tcPr>
            <w:tcW w:type="dxa" w:w="5112"/>
          </w:tcPr>
          <w:p>
            <w:pPr>
              <w:spacing w:after="20" w:line="252" w:lineRule="auto"/>
            </w:pPr>
            <w:r>
              <w:rPr>
                <w:rFonts w:ascii="Calibri" w:hAnsi="Calibri"/>
                <w:b w:val="0"/>
                <w:i w:val="0"/>
                <w:color w:val="4338CA"/>
                <w:sz w:val="20"/>
              </w:rPr>
              <w:t xml:space="preserve">▪ </w:t>
            </w:r>
            <w:r>
              <w:rPr>
                <w:rFonts w:ascii="Calibri" w:hAnsi="Calibri"/>
                <w:b w:val="0"/>
                <w:i w:val="0"/>
                <w:color w:val="1F2937"/>
                <w:sz w:val="20"/>
              </w:rPr>
              <w:t>Founding team member, NetApp Cloud ONTAP</w:t>
            </w:r>
          </w:p>
        </w:tc>
      </w:tr>
    </w:tbl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52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sudhanshu.malhotra@gmail.com" TargetMode="External"/><Relationship Id="rId10" Type="http://schemas.openxmlformats.org/officeDocument/2006/relationships/hyperlink" Target="https://sudhanshu.cloud" TargetMode="External"/><Relationship Id="rId11" Type="http://schemas.openxmlformats.org/officeDocument/2006/relationships/hyperlink" Target="https://www.linkedin.com/in/malhotrasudhans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